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C044F4" w:rsidRPr="007D45CF" w:rsidP="007D45CF">
      <w:pPr>
        <w:spacing w:line="360" w:lineRule="auto"/>
        <w:ind w:firstLine="1050" w:firstLineChars="350"/>
        <w:rPr>
          <w:rFonts w:ascii="楷体_GB2312" w:eastAsia="楷体_GB2312"/>
          <w:sz w:val="30"/>
          <w:szCs w:val="30"/>
        </w:rPr>
      </w:pPr>
      <w:r w:rsidRPr="007D45CF">
        <w:rPr>
          <w:rFonts w:ascii="楷体_GB2312" w:eastAsia="楷体_GB2312" w:hint="eastAsia"/>
          <w:sz w:val="30"/>
          <w:szCs w:val="30"/>
        </w:rPr>
        <w:t xml:space="preserve">《老子》四章《五石之瓠》探究导学案 </w:t>
      </w:r>
    </w:p>
    <w:p w:rsidR="00C044F4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【学习目标】</w:t>
      </w:r>
    </w:p>
    <w:p w:rsidR="00C044F4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1、掌握文中重点文言词语的含义和用法，了解文章的思想内涵；</w:t>
      </w:r>
    </w:p>
    <w:p w:rsidR="00C044F4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2、探究道家哲学思想的思辨性，分析老庄的哲学之道对当今社会所起到的积极意义</w:t>
      </w:r>
    </w:p>
    <w:p w:rsidR="00C044F4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 【学习过程】</w:t>
      </w:r>
    </w:p>
    <w:p w:rsidR="00C044F4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一、导入</w:t>
      </w:r>
    </w:p>
    <w:p w:rsidR="004618AD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名言：</w:t>
      </w:r>
    </w:p>
    <w:p w:rsidR="00925B51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AnsiTheme="minorEastAsia" w:hint="eastAsia"/>
          <w:sz w:val="28"/>
          <w:szCs w:val="28"/>
        </w:rPr>
        <w:t>①</w:t>
      </w:r>
      <w:r w:rsidRPr="007D45CF">
        <w:rPr>
          <w:rFonts w:ascii="楷体_GB2312" w:eastAsia="楷体_GB2312" w:hint="eastAsia"/>
          <w:sz w:val="28"/>
          <w:szCs w:val="28"/>
        </w:rPr>
        <w:t>道可道，非常道。名可名，非常名。无名天地之始；有名万物之母。</w:t>
      </w:r>
    </w:p>
    <w:p w:rsidR="004618AD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AnsiTheme="minorEastAsia" w:hint="eastAsia"/>
          <w:sz w:val="28"/>
          <w:szCs w:val="28"/>
        </w:rPr>
        <w:t>②</w:t>
      </w:r>
      <w:r w:rsidRPr="007D45CF">
        <w:rPr>
          <w:rFonts w:ascii="楷体_GB2312" w:eastAsia="楷体_GB2312" w:hint="eastAsia"/>
          <w:sz w:val="28"/>
          <w:szCs w:val="28"/>
        </w:rPr>
        <w:t>人法地，地法天，天法道，道法自然。</w:t>
      </w:r>
    </w:p>
    <w:p w:rsidR="004618AD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AnsiTheme="minorEastAsia" w:hint="eastAsia"/>
          <w:sz w:val="28"/>
          <w:szCs w:val="28"/>
        </w:rPr>
        <w:t>③</w:t>
      </w:r>
      <w:r w:rsidRPr="007D45CF">
        <w:rPr>
          <w:rFonts w:ascii="楷体_GB2312" w:eastAsia="楷体_GB2312" w:hint="eastAsia"/>
          <w:sz w:val="28"/>
          <w:szCs w:val="28"/>
        </w:rPr>
        <w:t>吾生也有涯，而知也无涯。</w:t>
      </w:r>
    </w:p>
    <w:p w:rsidR="004618AD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AnsiTheme="minorEastAsia" w:hint="eastAsia"/>
          <w:sz w:val="28"/>
          <w:szCs w:val="28"/>
        </w:rPr>
        <w:t>④</w:t>
      </w:r>
      <w:r w:rsidRPr="007D45CF">
        <w:rPr>
          <w:rFonts w:ascii="楷体_GB2312" w:eastAsia="楷体_GB2312" w:hint="eastAsia"/>
          <w:sz w:val="28"/>
          <w:szCs w:val="28"/>
        </w:rPr>
        <w:t>以无厚入有间，恢恢乎其于游刃必有余地矣。</w:t>
      </w:r>
    </w:p>
    <w:p w:rsidR="00C044F4" w:rsidRPr="007D45CF" w:rsidP="00C0064E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这些名言涉及到</w:t>
      </w:r>
      <w:r w:rsidRPr="007D45CF" w:rsidR="00925B51">
        <w:rPr>
          <w:rFonts w:ascii="楷体_GB2312" w:eastAsia="楷体_GB2312" w:hint="eastAsia"/>
          <w:sz w:val="28"/>
          <w:szCs w:val="28"/>
        </w:rPr>
        <w:t>了哪两位古代文化名人?依据是什么?</w:t>
      </w:r>
    </w:p>
    <w:p w:rsidR="000E21A3" w:rsidRPr="007D45CF" w:rsidP="00C0064E">
      <w:pPr>
        <w:spacing w:line="360" w:lineRule="auto"/>
        <w:rPr>
          <w:rFonts w:ascii="楷体_GB2312" w:eastAsia="楷体_GB2312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  </w:t>
      </w:r>
    </w:p>
    <w:p w:rsidR="00277FBF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明确：老子和庄子</w:t>
      </w:r>
    </w:p>
    <w:p w:rsidR="00C044F4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二、走进老子和庄子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</w:p>
    <w:p w:rsidR="00277FBF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要求：速读材料，标画</w:t>
      </w:r>
      <w:r w:rsidRPr="007D45CF" w:rsidR="00A87CF1">
        <w:rPr>
          <w:rFonts w:ascii="楷体_GB2312" w:eastAsia="楷体_GB2312" w:hint="eastAsia"/>
          <w:sz w:val="28"/>
          <w:szCs w:val="28"/>
        </w:rPr>
        <w:t>人物和人物思想的关键点</w:t>
      </w:r>
    </w:p>
    <w:p w:rsidR="00DC385E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老庄其人 </w:t>
      </w:r>
    </w:p>
    <w:p w:rsidR="00A57415" w:rsidRPr="007D45CF" w:rsidP="007D45CF">
      <w:pPr>
        <w:spacing w:line="360" w:lineRule="auto"/>
        <w:ind w:firstLine="280" w:firstLineChars="10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老子，姓李名耳，字聃，春秋末期人，中国古代思想家、哲学家、文学家和史学家，道家学派创始人和主要代表人物，与庄子并称“老庄”。后被道教尊为始祖，称“太上老君”。在唐朝，被追认为李姓始祖。曾被列为世界文化名人，世界百位历史名人之一。老子曾担任周朝守藏室之史，以博学而闻名，孔子曾入周</w:t>
      </w:r>
      <w:r w:rsidRPr="007D45CF">
        <w:rPr>
          <w:rFonts w:ascii="楷体_GB2312" w:eastAsia="楷体_GB2312" w:hint="eastAsia"/>
          <w:sz w:val="28"/>
          <w:szCs w:val="28"/>
        </w:rPr>
        <w:t>向他问礼。春秋末年，天下大乱，老子欲弃官归隐，遂骑青牛西行。到灵宝函谷关时，受关令尹喜之请著《道德经》</w:t>
      </w:r>
      <w:r w:rsidRPr="007D45CF" w:rsidR="00DC385E">
        <w:rPr>
          <w:rFonts w:ascii="楷体_GB2312" w:eastAsia="楷体_GB2312" w:hint="eastAsia"/>
          <w:sz w:val="28"/>
          <w:szCs w:val="28"/>
        </w:rPr>
        <w:t>。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</w:p>
    <w:p w:rsidR="00A57415" w:rsidRPr="007D45CF" w:rsidP="007D45CF">
      <w:pPr>
        <w:spacing w:line="360" w:lineRule="auto"/>
        <w:ind w:firstLine="280" w:firstLineChars="10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老子思想对中国哲学发展具有深刻影响，他的思想核心是“道”。他认为道是万物的本源，无论什么事都要遵循本源，并且要遵循发展的规律，不能强加干涉，要尊重自然。在政治上，主张无为而治、不言之教。在权术上，讲究物极必反之理。在修身方面，讲究虚心实腹、不与人争的修持，是道家性命双修的始祖。 </w:t>
      </w:r>
    </w:p>
    <w:p w:rsidR="004618AD" w:rsidRPr="007D45CF" w:rsidP="007D45CF">
      <w:pPr>
        <w:spacing w:line="360" w:lineRule="auto"/>
        <w:ind w:firstLine="280" w:firstLineChars="10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庄子，姓庄，名周，战国时期末国蒙人。战国中期道家学派代表人物，思想家、哲学家、文学家，庄学的创立者，与老子并称“老庄”。他主张“天人合一” 和“清静无为”。庄子最引人注目的，便是于他提出的“逍遥处世”之说，庄子塑造的人生境界，是最飘逸灵新的一种洒脱</w:t>
      </w:r>
      <w:r w:rsidRPr="007D45CF">
        <w:rPr>
          <w:rFonts w:ascii="楷体_GB2312" w:eastAsia="楷体_GB2312" w:hint="eastAsia"/>
          <w:sz w:val="28"/>
          <w:szCs w:val="28"/>
        </w:rPr>
        <w:t>。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</w:p>
    <w:p w:rsidR="004618AD" w:rsidRPr="007D45CF" w:rsidP="007D45CF">
      <w:pPr>
        <w:spacing w:line="360" w:lineRule="auto"/>
        <w:ind w:firstLine="420" w:firstLineChars="15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庄子因崇尚自由而不应楚威王之聘，仅担任过宋国地方的漆园吏，史称“漆园傲吏”，被誉为地方官吏之楷模。最早提出的“内圣外王”思想对儒家影响深远</w:t>
      </w:r>
      <w:r w:rsidRPr="007D45CF" w:rsidR="005F4013">
        <w:rPr>
          <w:rFonts w:ascii="楷体_GB2312" w:eastAsia="楷体_GB2312" w:hint="eastAsia"/>
          <w:sz w:val="28"/>
          <w:szCs w:val="28"/>
        </w:rPr>
        <w:t>洞悉易理，指出“《易》以道阴阳”，其“三籁”思想与《易经》三才之道相合。其文想象丰富奇特，语言运用自如，灵活多变，能把微妙难言的哲理说得引人入胜</w:t>
      </w:r>
      <w:r w:rsidRPr="007D45CF">
        <w:rPr>
          <w:rFonts w:ascii="楷体_GB2312" w:eastAsia="楷体_GB2312" w:hint="eastAsia"/>
          <w:sz w:val="28"/>
          <w:szCs w:val="28"/>
        </w:rPr>
        <w:t>，</w:t>
      </w:r>
      <w:r w:rsidRPr="007D45CF" w:rsidR="005F4013">
        <w:rPr>
          <w:rFonts w:ascii="楷体_GB2312" w:eastAsia="楷体_GB2312" w:hint="eastAsia"/>
          <w:sz w:val="28"/>
          <w:szCs w:val="28"/>
        </w:rPr>
        <w:t>被称为“文学的哲学，哲学的文学”。代表作品为《庄子》，其中名篇有《逍遥游》《齐物论》《养生主》等。</w:t>
      </w:r>
    </w:p>
    <w:p w:rsidR="004618AD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三、走进文本</w:t>
      </w:r>
      <w:r w:rsidRPr="007D45CF" w:rsidR="005F4013">
        <w:rPr>
          <w:rFonts w:ascii="楷体_GB2312" w:eastAsia="楷体_GB2312" w:hint="eastAsia"/>
          <w:sz w:val="28"/>
          <w:szCs w:val="28"/>
        </w:rPr>
        <w:t>：</w:t>
      </w:r>
    </w:p>
    <w:p w:rsidR="004618AD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学习活动一：</w:t>
      </w:r>
      <w:r w:rsidRPr="007D45CF" w:rsidR="005F4013">
        <w:rPr>
          <w:rFonts w:ascii="楷体_GB2312" w:eastAsia="楷体_GB2312" w:hint="eastAsia"/>
          <w:sz w:val="28"/>
          <w:szCs w:val="28"/>
        </w:rPr>
        <w:t>诵读吟咏，整理文言现象</w:t>
      </w:r>
    </w:p>
    <w:p w:rsidR="004618AD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1、</w:t>
      </w:r>
      <w:r w:rsidRPr="007D45CF" w:rsidR="00A87CF1">
        <w:rPr>
          <w:rFonts w:ascii="楷体_GB2312" w:eastAsia="楷体_GB2312" w:hint="eastAsia"/>
          <w:sz w:val="28"/>
          <w:szCs w:val="28"/>
        </w:rPr>
        <w:t>给下列划线</w:t>
      </w:r>
      <w:r w:rsidRPr="007D45CF" w:rsidR="005F4013">
        <w:rPr>
          <w:rFonts w:ascii="楷体_GB2312" w:eastAsia="楷体_GB2312" w:hint="eastAsia"/>
          <w:sz w:val="28"/>
          <w:szCs w:val="28"/>
        </w:rPr>
        <w:t>的字注音</w:t>
      </w:r>
      <w:r w:rsidRPr="007D45CF">
        <w:rPr>
          <w:rFonts w:ascii="楷体_GB2312" w:eastAsia="楷体_GB2312" w:hint="eastAsia"/>
          <w:sz w:val="28"/>
          <w:szCs w:val="28"/>
        </w:rPr>
        <w:t>。</w:t>
      </w:r>
    </w:p>
    <w:p w:rsidR="00C02116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 </w:t>
      </w:r>
      <w:r w:rsidRPr="007D45CF">
        <w:rPr>
          <w:rFonts w:ascii="楷体_GB2312" w:eastAsia="楷体_GB2312" w:hint="eastAsia"/>
          <w:sz w:val="28"/>
          <w:szCs w:val="28"/>
          <w:u w:val="single"/>
        </w:rPr>
        <w:t>强</w:t>
      </w:r>
      <w:r w:rsidRPr="007D45CF">
        <w:rPr>
          <w:rFonts w:ascii="楷体_GB2312" w:eastAsia="楷体_GB2312" w:hint="eastAsia"/>
          <w:sz w:val="28"/>
          <w:szCs w:val="28"/>
        </w:rPr>
        <w:t>行者(</w:t>
      </w:r>
      <w:r w:rsidRPr="007D45CF" w:rsidR="004618AD">
        <w:rPr>
          <w:rFonts w:ascii="楷体_GB2312" w:eastAsia="楷体_GB2312" w:hint="eastAsia"/>
          <w:sz w:val="28"/>
          <w:szCs w:val="28"/>
        </w:rPr>
        <w:t xml:space="preserve">   </w:t>
      </w:r>
      <w:r w:rsidRPr="007D45CF">
        <w:rPr>
          <w:rFonts w:ascii="楷体_GB2312" w:eastAsia="楷体_GB2312" w:hint="eastAsia"/>
          <w:sz w:val="28"/>
          <w:szCs w:val="28"/>
        </w:rPr>
        <w:t>)</w:t>
      </w:r>
      <w:r w:rsidRPr="007D45CF" w:rsidR="004618AD">
        <w:rPr>
          <w:rFonts w:ascii="楷体_GB2312" w:eastAsia="楷体_GB2312" w:hint="eastAsia"/>
          <w:sz w:val="28"/>
          <w:szCs w:val="28"/>
        </w:rPr>
        <w:t xml:space="preserve"> </w:t>
      </w:r>
      <w:r w:rsidRPr="007D45CF" w:rsidR="004618AD">
        <w:rPr>
          <w:rFonts w:ascii="楷体_GB2312" w:hint="eastAsia"/>
          <w:sz w:val="28"/>
          <w:szCs w:val="28"/>
          <w:u w:val="single"/>
        </w:rPr>
        <w:t>呺</w:t>
      </w:r>
      <w:r w:rsidRPr="007D45CF">
        <w:rPr>
          <w:rFonts w:ascii="楷体_GB2312" w:eastAsia="楷体_GB2312" w:hint="eastAsia"/>
          <w:sz w:val="28"/>
          <w:szCs w:val="28"/>
        </w:rPr>
        <w:t>然(</w:t>
      </w:r>
      <w:r w:rsidRPr="007D45CF" w:rsidR="004618AD">
        <w:rPr>
          <w:rFonts w:ascii="楷体_GB2312" w:eastAsia="楷体_GB2312" w:hint="eastAsia"/>
          <w:sz w:val="28"/>
          <w:szCs w:val="28"/>
        </w:rPr>
        <w:t xml:space="preserve">   </w:t>
      </w:r>
      <w:r w:rsidRPr="007D45CF">
        <w:rPr>
          <w:rFonts w:ascii="楷体_GB2312" w:eastAsia="楷体_GB2312" w:hint="eastAsia"/>
          <w:sz w:val="28"/>
          <w:szCs w:val="28"/>
        </w:rPr>
        <w:t>)</w:t>
      </w:r>
      <w:r w:rsidRPr="007D45CF" w:rsidR="004618AD">
        <w:rPr>
          <w:rFonts w:ascii="楷体_GB2312" w:eastAsia="楷体_GB2312" w:hint="eastAsia"/>
          <w:sz w:val="28"/>
          <w:szCs w:val="28"/>
        </w:rPr>
        <w:t xml:space="preserve">  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  <w:r w:rsidRPr="007D45CF" w:rsidR="004618AD">
        <w:rPr>
          <w:rFonts w:ascii="楷体_GB2312" w:eastAsia="楷体_GB2312" w:hint="eastAsia"/>
          <w:sz w:val="28"/>
          <w:szCs w:val="28"/>
          <w:u w:val="single"/>
        </w:rPr>
        <w:t>掊</w:t>
      </w:r>
      <w:r w:rsidRPr="007D45CF">
        <w:rPr>
          <w:rFonts w:ascii="楷体_GB2312" w:eastAsia="楷体_GB2312" w:hint="eastAsia"/>
          <w:sz w:val="28"/>
          <w:szCs w:val="28"/>
        </w:rPr>
        <w:t>之(</w:t>
      </w:r>
      <w:r w:rsidRPr="007D45CF" w:rsidR="004618AD">
        <w:rPr>
          <w:rFonts w:ascii="楷体_GB2312" w:eastAsia="楷体_GB2312" w:hint="eastAsia"/>
          <w:sz w:val="28"/>
          <w:szCs w:val="28"/>
        </w:rPr>
        <w:t xml:space="preserve">   </w:t>
      </w:r>
      <w:r w:rsidRPr="007D45CF">
        <w:rPr>
          <w:rFonts w:ascii="楷体_GB2312" w:eastAsia="楷体_GB2312" w:hint="eastAsia"/>
          <w:sz w:val="28"/>
          <w:szCs w:val="28"/>
        </w:rPr>
        <w:t xml:space="preserve">) 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</w:t>
      </w:r>
      <w:r w:rsidRPr="007D45CF">
        <w:rPr>
          <w:rFonts w:ascii="楷体_GB2312" w:hint="eastAsia"/>
          <w:sz w:val="28"/>
          <w:szCs w:val="28"/>
          <w:u w:val="single"/>
        </w:rPr>
        <w:t>洴澼絖</w:t>
      </w:r>
      <w:r w:rsidRPr="007D45CF">
        <w:rPr>
          <w:rFonts w:ascii="楷体_GB2312" w:eastAsia="楷体_GB2312" w:hint="eastAsia"/>
          <w:sz w:val="28"/>
          <w:szCs w:val="28"/>
        </w:rPr>
        <w:t>（   ）</w:t>
      </w:r>
    </w:p>
    <w:p w:rsidR="00A87CF1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 </w:t>
      </w:r>
      <w:r w:rsidRPr="007D45CF" w:rsidR="005F4013">
        <w:rPr>
          <w:rFonts w:ascii="楷体_GB2312" w:eastAsia="楷体_GB2312" w:hint="eastAsia"/>
          <w:sz w:val="28"/>
          <w:szCs w:val="28"/>
          <w:u w:val="single"/>
        </w:rPr>
        <w:t>鬻</w:t>
      </w:r>
      <w:r w:rsidRPr="007D45CF" w:rsidR="005F4013">
        <w:rPr>
          <w:rFonts w:ascii="楷体_GB2312" w:eastAsia="楷体_GB2312" w:hint="eastAsia"/>
          <w:sz w:val="28"/>
          <w:szCs w:val="28"/>
        </w:rPr>
        <w:t>技(</w:t>
      </w:r>
      <w:r w:rsidRPr="007D45CF">
        <w:rPr>
          <w:rFonts w:ascii="楷体_GB2312" w:eastAsia="楷体_GB2312" w:hint="eastAsia"/>
          <w:sz w:val="28"/>
          <w:szCs w:val="28"/>
        </w:rPr>
        <w:t xml:space="preserve">    </w:t>
      </w:r>
      <w:r w:rsidRPr="007D45CF" w:rsidR="005F4013">
        <w:rPr>
          <w:rFonts w:ascii="楷体_GB2312" w:eastAsia="楷体_GB2312" w:hint="eastAsia"/>
          <w:sz w:val="28"/>
          <w:szCs w:val="28"/>
        </w:rPr>
        <w:t xml:space="preserve">) </w:t>
      </w:r>
      <w:r w:rsidRPr="007D45CF" w:rsidR="005F4013">
        <w:rPr>
          <w:rFonts w:ascii="楷体_GB2312" w:eastAsia="楷体_GB2312" w:hint="eastAsia"/>
          <w:sz w:val="28"/>
          <w:szCs w:val="28"/>
          <w:u w:val="single"/>
        </w:rPr>
        <w:t>龟</w:t>
      </w:r>
      <w:r w:rsidRPr="007D45CF" w:rsidR="005F4013">
        <w:rPr>
          <w:rFonts w:ascii="楷体_GB2312" w:eastAsia="楷体_GB2312" w:hint="eastAsia"/>
          <w:sz w:val="28"/>
          <w:szCs w:val="28"/>
        </w:rPr>
        <w:t>手(</w:t>
      </w:r>
      <w:r w:rsidRPr="007D45CF">
        <w:rPr>
          <w:rFonts w:ascii="楷体_GB2312" w:eastAsia="楷体_GB2312" w:hint="eastAsia"/>
          <w:sz w:val="28"/>
          <w:szCs w:val="28"/>
        </w:rPr>
        <w:t xml:space="preserve">   </w:t>
      </w:r>
      <w:r w:rsidRPr="007D45CF" w:rsidR="005F4013">
        <w:rPr>
          <w:rFonts w:ascii="楷体_GB2312" w:eastAsia="楷体_GB2312" w:hint="eastAsia"/>
          <w:sz w:val="28"/>
          <w:szCs w:val="28"/>
        </w:rPr>
        <w:t xml:space="preserve">) </w:t>
      </w:r>
    </w:p>
    <w:p w:rsidR="00C02116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2</w:t>
      </w:r>
      <w:r w:rsidRPr="007D45CF" w:rsidR="00A87CF1">
        <w:rPr>
          <w:rFonts w:ascii="楷体_GB2312" w:eastAsia="楷体_GB2312" w:hint="eastAsia"/>
          <w:sz w:val="28"/>
          <w:szCs w:val="28"/>
        </w:rPr>
        <w:t>解释下列划线</w:t>
      </w:r>
      <w:r w:rsidRPr="007D45CF">
        <w:rPr>
          <w:rFonts w:ascii="楷体_GB2312" w:eastAsia="楷体_GB2312" w:hint="eastAsia"/>
          <w:sz w:val="28"/>
          <w:szCs w:val="28"/>
        </w:rPr>
        <w:t xml:space="preserve">词语的意思。 </w:t>
      </w:r>
    </w:p>
    <w:p w:rsidR="00C02116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自是者不</w:t>
      </w:r>
      <w:r w:rsidRPr="007D45CF">
        <w:rPr>
          <w:rFonts w:ascii="楷体_GB2312" w:eastAsia="楷体_GB2312" w:hint="eastAsia"/>
          <w:sz w:val="28"/>
          <w:szCs w:val="28"/>
          <w:u w:val="single"/>
        </w:rPr>
        <w:t>彰</w:t>
      </w:r>
      <w:r w:rsidRPr="007D45CF">
        <w:rPr>
          <w:rFonts w:ascii="楷体_GB2312" w:eastAsia="楷体_GB2312" w:hint="eastAsia"/>
          <w:sz w:val="28"/>
          <w:szCs w:val="28"/>
        </w:rPr>
        <w:t>(</w:t>
      </w:r>
      <w:r w:rsidRPr="007D45CF">
        <w:rPr>
          <w:rFonts w:ascii="楷体_GB2312" w:eastAsia="楷体_GB2312" w:hint="eastAsia"/>
          <w:sz w:val="28"/>
          <w:szCs w:val="28"/>
        </w:rPr>
        <w:t xml:space="preserve">  </w:t>
      </w:r>
      <w:r w:rsidRPr="007D45CF">
        <w:rPr>
          <w:rFonts w:ascii="楷体_GB2312" w:eastAsia="楷体_GB2312" w:hint="eastAsia"/>
          <w:sz w:val="28"/>
          <w:szCs w:val="28"/>
        </w:rPr>
        <w:t>)自</w:t>
      </w:r>
      <w:r w:rsidRPr="007D45CF">
        <w:rPr>
          <w:rFonts w:ascii="楷体_GB2312" w:eastAsia="楷体_GB2312" w:hint="eastAsia"/>
          <w:sz w:val="28"/>
          <w:szCs w:val="28"/>
          <w:u w:val="single"/>
        </w:rPr>
        <w:t>伐</w:t>
      </w:r>
      <w:r w:rsidRPr="007D45CF">
        <w:rPr>
          <w:rFonts w:ascii="楷体_GB2312" w:eastAsia="楷体_GB2312" w:hint="eastAsia"/>
          <w:sz w:val="28"/>
          <w:szCs w:val="28"/>
        </w:rPr>
        <w:t>者无功(</w:t>
      </w:r>
      <w:r w:rsidRPr="007D45CF">
        <w:rPr>
          <w:rFonts w:ascii="楷体_GB2312" w:eastAsia="楷体_GB2312" w:hint="eastAsia"/>
          <w:sz w:val="28"/>
          <w:szCs w:val="28"/>
        </w:rPr>
        <w:t xml:space="preserve">  </w:t>
      </w:r>
      <w:r w:rsidRPr="007D45CF">
        <w:rPr>
          <w:rFonts w:ascii="楷体_GB2312" w:eastAsia="楷体_GB2312" w:hint="eastAsia"/>
          <w:sz w:val="28"/>
          <w:szCs w:val="28"/>
        </w:rPr>
        <w:t xml:space="preserve">) </w:t>
      </w:r>
      <w:r w:rsidRPr="007D45CF">
        <w:rPr>
          <w:rFonts w:ascii="楷体_GB2312" w:eastAsia="楷体_GB2312" w:hint="eastAsia"/>
          <w:sz w:val="28"/>
          <w:szCs w:val="28"/>
          <w:u w:val="single"/>
        </w:rPr>
        <w:t>强</w:t>
      </w:r>
      <w:r w:rsidRPr="007D45CF">
        <w:rPr>
          <w:rFonts w:ascii="楷体_GB2312" w:eastAsia="楷体_GB2312" w:hint="eastAsia"/>
          <w:sz w:val="28"/>
          <w:szCs w:val="28"/>
        </w:rPr>
        <w:t xml:space="preserve">行者有志( </w:t>
      </w:r>
      <w:r w:rsidRPr="007D45CF">
        <w:rPr>
          <w:rFonts w:ascii="楷体_GB2312" w:eastAsia="楷体_GB2312" w:hint="eastAsia"/>
          <w:sz w:val="28"/>
          <w:szCs w:val="28"/>
        </w:rPr>
        <w:t xml:space="preserve"> )</w:t>
      </w:r>
      <w:r w:rsidRPr="007D45CF">
        <w:rPr>
          <w:rFonts w:ascii="楷体_GB2312" w:eastAsia="楷体_GB2312" w:hint="eastAsia"/>
          <w:sz w:val="28"/>
          <w:szCs w:val="28"/>
        </w:rPr>
        <w:t>我</w:t>
      </w:r>
      <w:r w:rsidRPr="007D45CF">
        <w:rPr>
          <w:rFonts w:ascii="楷体_GB2312" w:eastAsia="楷体_GB2312" w:hint="eastAsia"/>
          <w:sz w:val="28"/>
          <w:szCs w:val="28"/>
          <w:u w:val="single"/>
        </w:rPr>
        <w:t>树</w:t>
      </w:r>
      <w:r w:rsidRPr="007D45CF">
        <w:rPr>
          <w:rFonts w:ascii="楷体_GB2312" w:eastAsia="楷体_GB2312" w:hint="eastAsia"/>
          <w:sz w:val="28"/>
          <w:szCs w:val="28"/>
        </w:rPr>
        <w:t>之成(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  <w:r w:rsidRPr="007D45CF">
        <w:rPr>
          <w:rFonts w:ascii="楷体_GB2312" w:eastAsia="楷体_GB2312" w:hint="eastAsia"/>
          <w:sz w:val="28"/>
          <w:szCs w:val="28"/>
        </w:rPr>
        <w:t>)</w:t>
      </w:r>
    </w:p>
    <w:p w:rsidR="00C02116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吾为其无用而</w:t>
      </w:r>
      <w:r w:rsidRPr="007D45CF">
        <w:rPr>
          <w:rFonts w:ascii="楷体_GB2312" w:eastAsia="楷体_GB2312" w:hint="eastAsia"/>
          <w:sz w:val="28"/>
          <w:szCs w:val="28"/>
          <w:u w:val="single"/>
        </w:rPr>
        <w:t>掊</w:t>
      </w:r>
      <w:r w:rsidRPr="007D45CF" w:rsidR="005F4013">
        <w:rPr>
          <w:rFonts w:ascii="楷体_GB2312" w:eastAsia="楷体_GB2312" w:hint="eastAsia"/>
          <w:sz w:val="28"/>
          <w:szCs w:val="28"/>
        </w:rPr>
        <w:t>之(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  <w:r w:rsidRPr="007D45CF" w:rsidR="005F4013">
        <w:rPr>
          <w:rFonts w:ascii="楷体_GB2312" w:eastAsia="楷体_GB2312" w:hint="eastAsia"/>
          <w:sz w:val="28"/>
          <w:szCs w:val="28"/>
        </w:rPr>
        <w:t xml:space="preserve"> )今一朝而</w:t>
      </w:r>
      <w:r w:rsidRPr="007D45CF" w:rsidR="005F4013">
        <w:rPr>
          <w:rFonts w:ascii="楷体_GB2312" w:eastAsia="楷体_GB2312" w:hint="eastAsia"/>
          <w:sz w:val="28"/>
          <w:szCs w:val="28"/>
          <w:u w:val="single"/>
        </w:rPr>
        <w:t>鬻</w:t>
      </w:r>
      <w:r w:rsidRPr="007D45CF" w:rsidR="005F4013">
        <w:rPr>
          <w:rFonts w:ascii="楷体_GB2312" w:eastAsia="楷体_GB2312" w:hint="eastAsia"/>
          <w:sz w:val="28"/>
          <w:szCs w:val="28"/>
        </w:rPr>
        <w:t>技百金(</w:t>
      </w:r>
      <w:r w:rsidRPr="007D45CF">
        <w:rPr>
          <w:rFonts w:ascii="楷体_GB2312" w:eastAsia="楷体_GB2312" w:hint="eastAsia"/>
          <w:sz w:val="28"/>
          <w:szCs w:val="28"/>
        </w:rPr>
        <w:t xml:space="preserve">   )</w:t>
      </w:r>
      <w:r w:rsidRPr="007D45CF" w:rsidR="005F4013">
        <w:rPr>
          <w:rFonts w:ascii="楷体_GB2312" w:eastAsia="楷体_GB2312" w:hint="eastAsia"/>
          <w:sz w:val="28"/>
          <w:szCs w:val="28"/>
        </w:rPr>
        <w:t xml:space="preserve"> </w:t>
      </w:r>
    </w:p>
    <w:p w:rsidR="00C02116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3</w:t>
      </w:r>
      <w:r w:rsidRPr="007D45CF">
        <w:rPr>
          <w:rFonts w:ascii="楷体_GB2312" w:eastAsia="楷体_GB2312" w:hint="eastAsia"/>
          <w:sz w:val="28"/>
          <w:szCs w:val="28"/>
        </w:rPr>
        <w:t>、</w:t>
      </w:r>
      <w:r w:rsidRPr="007D45CF">
        <w:rPr>
          <w:rFonts w:ascii="楷体_GB2312" w:eastAsia="楷体_GB2312" w:hint="eastAsia"/>
          <w:sz w:val="28"/>
          <w:szCs w:val="28"/>
        </w:rPr>
        <w:t>翻译下列句子。</w:t>
      </w:r>
    </w:p>
    <w:p w:rsidR="00C02116" w:rsidRPr="007D45CF" w:rsidP="00C0064E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 (1)故有之以为利，无之以为用。</w:t>
      </w:r>
    </w:p>
    <w:p w:rsidR="000E21A3" w:rsidRPr="007D45CF" w:rsidP="00C0064E">
      <w:pPr>
        <w:spacing w:line="360" w:lineRule="auto"/>
        <w:rPr>
          <w:rFonts w:ascii="楷体_GB2312" w:eastAsia="楷体_GB2312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 </w:t>
      </w:r>
    </w:p>
    <w:p w:rsidR="00C02116" w:rsidRPr="007D45CF" w:rsidP="00C0064E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 (2)复众人之所过，以辅万物之自然而不敢为。</w:t>
      </w:r>
    </w:p>
    <w:p w:rsidR="000E21A3" w:rsidRPr="007D45CF" w:rsidP="00C0064E">
      <w:pPr>
        <w:spacing w:line="360" w:lineRule="auto"/>
        <w:rPr>
          <w:rFonts w:ascii="楷体_GB2312" w:eastAsia="楷体_GB2312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    </w:t>
      </w:r>
    </w:p>
    <w:p w:rsidR="00C02116" w:rsidRPr="007D45CF" w:rsidP="00C0064E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 (3)今子有五石之瓠，何不虑以为大樽而浮乎江湖，而忧其瓠落无所容</w:t>
      </w:r>
      <w:r w:rsidRPr="007D45CF" w:rsidR="00177A74">
        <w:rPr>
          <w:rFonts w:ascii="楷体_GB2312" w:eastAsia="楷体_GB2312" w:hint="eastAsia"/>
          <w:sz w:val="28"/>
          <w:szCs w:val="28"/>
        </w:rPr>
        <w:t>。</w:t>
      </w:r>
      <w:r w:rsidRPr="007D45CF">
        <w:rPr>
          <w:rFonts w:ascii="楷体_GB2312" w:eastAsia="楷体_GB2312" w:hint="eastAsia"/>
          <w:sz w:val="28"/>
          <w:szCs w:val="28"/>
        </w:rPr>
        <w:t xml:space="preserve"> </w:t>
      </w:r>
    </w:p>
    <w:p w:rsidR="000E21A3" w:rsidRPr="007D45CF" w:rsidP="00C0064E">
      <w:pPr>
        <w:spacing w:line="360" w:lineRule="auto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9630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</w:t>
      </w:r>
    </w:p>
    <w:p w:rsidR="000E21A3" w:rsidRPr="007D45CF" w:rsidP="00C0064E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明确：（1）所以，“有”给人便利，正是“无”使它发挥了作用。</w:t>
      </w:r>
    </w:p>
    <w:p w:rsidR="00177A74" w:rsidRPr="007D45CF" w:rsidP="00C0064E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（2）</w:t>
      </w:r>
      <w:r w:rsidRPr="007D45CF">
        <w:rPr>
          <w:rFonts w:ascii="楷体_GB2312" w:eastAsia="楷体_GB2312" w:hint="eastAsia"/>
          <w:sz w:val="28"/>
          <w:szCs w:val="28"/>
        </w:rPr>
        <w:t>补救众人所犯的过错，来辅助万物自然不加以干涉。</w:t>
      </w:r>
    </w:p>
    <w:p w:rsidR="000E21A3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（3）</w:t>
      </w:r>
      <w:r w:rsidRPr="007D45CF" w:rsidR="00177A74">
        <w:rPr>
          <w:rFonts w:ascii="楷体_GB2312" w:eastAsia="楷体_GB2312" w:hint="eastAsia"/>
          <w:sz w:val="28"/>
          <w:szCs w:val="28"/>
        </w:rPr>
        <w:t>现在你有可容五石东西的大葫芦，为什么不把它系在身上作为腰舟而浮游于江湖呢？却担忧它大而无处可容纳。</w:t>
      </w:r>
    </w:p>
    <w:p w:rsidR="00923124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学习活动二：解读文本，探究老庄思想 </w:t>
      </w:r>
    </w:p>
    <w:p w:rsidR="00923124" w:rsidRPr="007D45CF" w:rsidP="001F6E22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再读《五石之瓠》，概括故事内容，分析庄子所阐述的思想</w:t>
      </w:r>
      <w:r w:rsidRPr="007D45CF" w:rsidR="00A87CF1">
        <w:rPr>
          <w:rFonts w:ascii="楷体_GB2312" w:eastAsia="楷体_GB2312" w:hint="eastAsia"/>
          <w:sz w:val="28"/>
          <w:szCs w:val="28"/>
        </w:rPr>
        <w:t>。</w:t>
      </w:r>
    </w:p>
    <w:p w:rsidR="00177A74" w:rsidRPr="007D45CF" w:rsidP="00177A74">
      <w:pPr>
        <w:pStyle w:val="ListParagraph"/>
        <w:spacing w:line="360" w:lineRule="auto"/>
        <w:ind w:left="360" w:firstLine="0" w:firstLineChars="0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</w:t>
      </w:r>
    </w:p>
    <w:p w:rsidR="00177A74" w:rsidRPr="007D45CF" w:rsidP="00177A74">
      <w:pPr>
        <w:pStyle w:val="ListParagraph"/>
        <w:spacing w:line="360" w:lineRule="auto"/>
        <w:ind w:left="360" w:firstLine="0" w:firstLineChars="0"/>
        <w:rPr>
          <w:rFonts w:ascii="楷体_GB2312" w:eastAsia="楷体_GB2312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</w:t>
      </w:r>
    </w:p>
    <w:p w:rsidR="00A87CF1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明确：</w:t>
      </w:r>
      <w:r w:rsidRPr="007D45CF" w:rsidR="007165D4">
        <w:rPr>
          <w:rFonts w:ascii="楷体_GB2312" w:eastAsia="楷体_GB2312" w:hint="eastAsia"/>
          <w:sz w:val="28"/>
          <w:szCs w:val="28"/>
        </w:rPr>
        <w:t>“大用”“小用”会相互转化，对待事物，人们要更善于去发现这个事物的最大价值，从而完美地利用它。眼界开阔</w:t>
      </w:r>
      <w:r w:rsidRPr="007D45CF" w:rsidR="00D17596">
        <w:rPr>
          <w:rFonts w:ascii="楷体_GB2312" w:eastAsia="楷体_GB2312" w:hint="eastAsia"/>
          <w:sz w:val="28"/>
          <w:szCs w:val="28"/>
        </w:rPr>
        <w:t>，见识通达的才能不拘于一时一地的有限之用，才能达到逍遥之境。</w:t>
      </w:r>
    </w:p>
    <w:p w:rsidR="00D365C7" w:rsidRPr="007D45CF" w:rsidP="001F6E22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找出《老子》四章中第十一章与《五石之瓠》观点相近的句子，并探究第十一章所表达的思想。</w:t>
      </w:r>
    </w:p>
    <w:p w:rsidR="00177A74" w:rsidRPr="007D45CF" w:rsidP="00177A74">
      <w:pPr>
        <w:spacing w:line="360" w:lineRule="auto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</w:t>
      </w:r>
    </w:p>
    <w:p w:rsidR="00177A74" w:rsidRPr="007D45CF" w:rsidP="00177A74">
      <w:pPr>
        <w:spacing w:line="360" w:lineRule="auto"/>
        <w:rPr>
          <w:rFonts w:ascii="楷体_GB2312" w:eastAsia="楷体_GB2312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 </w:t>
      </w:r>
    </w:p>
    <w:p w:rsidR="00D17596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明确：事物由有与无两部分组成，其“有”的部分只有借助“无”的部分才能产生实用价值。表达了老子“有无相生”的观点，同时辩证地看待问题。</w:t>
      </w:r>
    </w:p>
    <w:p w:rsidR="00D365C7" w:rsidRPr="007D45CF" w:rsidP="001F6E22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比较一下《五石之瓠》和第十一章在艺术特色方面有哪些不同？</w:t>
      </w:r>
    </w:p>
    <w:tbl>
      <w:tblPr>
        <w:tblStyle w:val="TableGrid"/>
        <w:tblW w:w="0" w:type="auto"/>
        <w:tblLook w:val="04A0"/>
      </w:tblPr>
      <w:tblGrid>
        <w:gridCol w:w="4261"/>
        <w:gridCol w:w="4261"/>
      </w:tblGrid>
      <w:tr w:rsidTr="00BF00BF">
        <w:tblPrEx>
          <w:tblW w:w="0" w:type="auto"/>
          <w:tblLook w:val="04A0"/>
        </w:tblPrEx>
        <w:tc>
          <w:tcPr>
            <w:tcW w:w="4261" w:type="dxa"/>
          </w:tcPr>
          <w:p w:rsidR="00BF00BF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篇目</w:t>
            </w:r>
          </w:p>
        </w:tc>
        <w:tc>
          <w:tcPr>
            <w:tcW w:w="4261" w:type="dxa"/>
          </w:tcPr>
          <w:p w:rsidR="00BF00BF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艺术特色</w:t>
            </w:r>
          </w:p>
        </w:tc>
      </w:tr>
      <w:tr w:rsidTr="00BF00BF">
        <w:tblPrEx>
          <w:tblW w:w="0" w:type="auto"/>
          <w:tblLook w:val="04A0"/>
        </w:tblPrEx>
        <w:tc>
          <w:tcPr>
            <w:tcW w:w="4261" w:type="dxa"/>
          </w:tcPr>
          <w:p w:rsidR="00BF00BF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《五石之瓠》</w:t>
            </w:r>
          </w:p>
        </w:tc>
        <w:tc>
          <w:tcPr>
            <w:tcW w:w="4261" w:type="dxa"/>
          </w:tcPr>
          <w:p w:rsidR="00BF00BF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Tr="00BF00BF">
        <w:tblPrEx>
          <w:tblW w:w="0" w:type="auto"/>
          <w:tblLook w:val="04A0"/>
        </w:tblPrEx>
        <w:tc>
          <w:tcPr>
            <w:tcW w:w="4261" w:type="dxa"/>
          </w:tcPr>
          <w:p w:rsidR="00BF00BF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《老子》第十一章</w:t>
            </w:r>
          </w:p>
        </w:tc>
        <w:tc>
          <w:tcPr>
            <w:tcW w:w="4261" w:type="dxa"/>
          </w:tcPr>
          <w:p w:rsidR="00BF00BF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81095C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明</w:t>
      </w:r>
      <w:r w:rsidRPr="007D45CF">
        <w:rPr>
          <w:rFonts w:ascii="楷体_GB2312" w:eastAsia="楷体_GB2312" w:hint="eastAsia"/>
          <w:sz w:val="28"/>
          <w:szCs w:val="28"/>
        </w:rPr>
        <w:t>确：</w:t>
      </w:r>
    </w:p>
    <w:tbl>
      <w:tblPr>
        <w:tblStyle w:val="TableGrid"/>
        <w:tblW w:w="0" w:type="auto"/>
        <w:tblLook w:val="04A0"/>
      </w:tblPr>
      <w:tblGrid>
        <w:gridCol w:w="4261"/>
        <w:gridCol w:w="4261"/>
      </w:tblGrid>
      <w:tr w:rsidTr="00F12516">
        <w:tblPrEx>
          <w:tblW w:w="0" w:type="auto"/>
          <w:tblLook w:val="04A0"/>
        </w:tblPrEx>
        <w:tc>
          <w:tcPr>
            <w:tcW w:w="4261" w:type="dxa"/>
          </w:tcPr>
          <w:p w:rsidR="0081095C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篇目</w:t>
            </w:r>
          </w:p>
        </w:tc>
        <w:tc>
          <w:tcPr>
            <w:tcW w:w="4261" w:type="dxa"/>
          </w:tcPr>
          <w:p w:rsidR="0081095C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艺术特色</w:t>
            </w:r>
          </w:p>
        </w:tc>
      </w:tr>
      <w:tr w:rsidTr="00F12516">
        <w:tblPrEx>
          <w:tblW w:w="0" w:type="auto"/>
          <w:tblLook w:val="04A0"/>
        </w:tblPrEx>
        <w:tc>
          <w:tcPr>
            <w:tcW w:w="4261" w:type="dxa"/>
          </w:tcPr>
          <w:p w:rsidR="0081095C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《五石之瓠》</w:t>
            </w:r>
          </w:p>
        </w:tc>
        <w:tc>
          <w:tcPr>
            <w:tcW w:w="4261" w:type="dxa"/>
          </w:tcPr>
          <w:p w:rsidR="0081095C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善用寓言故事，寓哲理于离奇的想像。语言夸张，犀利明快，具有讽刺意味。</w:t>
            </w:r>
          </w:p>
        </w:tc>
      </w:tr>
      <w:tr w:rsidTr="00F12516">
        <w:tblPrEx>
          <w:tblW w:w="0" w:type="auto"/>
          <w:tblLook w:val="04A0"/>
        </w:tblPrEx>
        <w:tc>
          <w:tcPr>
            <w:tcW w:w="4261" w:type="dxa"/>
          </w:tcPr>
          <w:p w:rsidR="0081095C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《老子》第十一章</w:t>
            </w:r>
          </w:p>
        </w:tc>
        <w:tc>
          <w:tcPr>
            <w:tcW w:w="4261" w:type="dxa"/>
          </w:tcPr>
          <w:p w:rsidR="0081095C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7D45CF">
              <w:rPr>
                <w:rFonts w:ascii="楷体_GB2312" w:eastAsia="楷体_GB2312" w:hint="eastAsia"/>
                <w:sz w:val="28"/>
                <w:szCs w:val="28"/>
              </w:rPr>
              <w:t>列举日常生活中的事物阐明事理，通俗易懂。</w:t>
            </w:r>
          </w:p>
          <w:p w:rsidR="0081095C" w:rsidRPr="007D45CF" w:rsidP="00C0064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81095C" w:rsidRPr="007D45CF" w:rsidP="00C0064E">
      <w:pPr>
        <w:spacing w:line="360" w:lineRule="auto"/>
        <w:rPr>
          <w:rFonts w:ascii="楷体_GB2312" w:eastAsia="楷体_GB2312"/>
          <w:sz w:val="28"/>
          <w:szCs w:val="28"/>
        </w:rPr>
      </w:pPr>
    </w:p>
    <w:p w:rsidR="003F7E4B" w:rsidRPr="007D45CF" w:rsidP="001F6E22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分组讨论，深入探究其他三章体现了老子的哪些思想？</w:t>
      </w:r>
    </w:p>
    <w:p w:rsidR="00177A74" w:rsidRPr="007D45CF" w:rsidP="00177A74">
      <w:pPr>
        <w:pStyle w:val="ListParagraph"/>
        <w:spacing w:line="360" w:lineRule="auto"/>
        <w:ind w:left="360" w:firstLine="0" w:firstLineChars="0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           </w:t>
      </w:r>
    </w:p>
    <w:p w:rsidR="00177A74" w:rsidRPr="007D45CF" w:rsidP="00177A74">
      <w:pPr>
        <w:pStyle w:val="ListParagraph"/>
        <w:spacing w:line="360" w:lineRule="auto"/>
        <w:ind w:left="360" w:firstLine="0" w:firstLineChars="0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</w:t>
      </w:r>
    </w:p>
    <w:p w:rsidR="00177A74" w:rsidRPr="007D45CF" w:rsidP="00177A74">
      <w:pPr>
        <w:pStyle w:val="ListParagraph"/>
        <w:spacing w:line="360" w:lineRule="auto"/>
        <w:ind w:left="360" w:firstLine="0" w:firstLineChars="0"/>
        <w:rPr>
          <w:rFonts w:ascii="楷体_GB2312" w:eastAsia="楷体_GB2312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</w:t>
      </w:r>
    </w:p>
    <w:p w:rsidR="0081095C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明确：第二十四章：“自见”“自是”“自伐”“自矜”</w:t>
      </w:r>
      <w:r w:rsidRPr="007D45CF" w:rsidR="00457045">
        <w:rPr>
          <w:rFonts w:ascii="楷体_GB2312" w:eastAsia="楷体_GB2312" w:hint="eastAsia"/>
          <w:sz w:val="28"/>
          <w:szCs w:val="28"/>
        </w:rPr>
        <w:t>的行为令人厌恶，为有道之</w:t>
      </w:r>
      <w:r w:rsidRPr="007D45CF" w:rsidR="00457045">
        <w:rPr>
          <w:rFonts w:ascii="楷体_GB2312" w:eastAsia="楷体_GB2312" w:hint="eastAsia"/>
          <w:sz w:val="28"/>
          <w:szCs w:val="28"/>
        </w:rPr>
        <w:t>人所不齿，有道之人不会彰显自我。</w:t>
      </w:r>
    </w:p>
    <w:p w:rsidR="00457045" w:rsidRPr="007D45CF" w:rsidP="001F6E22">
      <w:pPr>
        <w:spacing w:line="360" w:lineRule="auto"/>
        <w:rPr>
          <w:rFonts w:ascii="楷体_GB2312" w:eastAsia="楷体_GB2312"/>
          <w:bCs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第三十三章：</w:t>
      </w:r>
      <w:r w:rsidRPr="007D45CF" w:rsidR="00A91534">
        <w:rPr>
          <w:rFonts w:ascii="楷体_GB2312" w:eastAsia="楷体_GB2312" w:hint="eastAsia"/>
          <w:sz w:val="28"/>
          <w:szCs w:val="28"/>
        </w:rPr>
        <w:t>一个人能“</w:t>
      </w:r>
      <w:r w:rsidRPr="007D45CF" w:rsidR="00A91534">
        <w:rPr>
          <w:rFonts w:ascii="楷体_GB2312" w:eastAsia="楷体_GB2312" w:hint="eastAsia"/>
          <w:bCs/>
          <w:sz w:val="28"/>
          <w:szCs w:val="28"/>
        </w:rPr>
        <w:t>自知</w:t>
      </w:r>
      <w:r w:rsidRPr="007D45CF" w:rsidR="00A91534">
        <w:rPr>
          <w:rFonts w:ascii="楷体_GB2312" w:eastAsia="楷体_GB2312" w:hint="eastAsia"/>
          <w:sz w:val="28"/>
          <w:szCs w:val="28"/>
        </w:rPr>
        <w:t>”</w:t>
      </w:r>
      <w:r w:rsidRPr="007D45CF" w:rsidR="00A91534">
        <w:rPr>
          <w:rFonts w:ascii="楷体_GB2312" w:eastAsia="楷体_GB2312" w:hint="eastAsia"/>
          <w:bCs/>
          <w:sz w:val="28"/>
          <w:szCs w:val="28"/>
        </w:rPr>
        <w:t>“自胜”“知足”“强行”，才能延续他的精神生命，虽然身体消亡了，</w:t>
      </w:r>
      <w:r w:rsidRPr="007D45CF" w:rsidR="00C0064E">
        <w:rPr>
          <w:rFonts w:ascii="楷体_GB2312" w:eastAsia="楷体_GB2312" w:hint="eastAsia"/>
          <w:bCs/>
          <w:sz w:val="28"/>
          <w:szCs w:val="28"/>
        </w:rPr>
        <w:t>但是精神不朽，因此要加强自我修养。</w:t>
      </w:r>
    </w:p>
    <w:p w:rsidR="00C0064E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bCs/>
          <w:sz w:val="28"/>
          <w:szCs w:val="28"/>
        </w:rPr>
        <w:t>第六十四章：告诉人们要始终保持慎重，要依照自然规律，要有坚定的毅力，耐心的去完成某件事情。同时，引出“无为而治”思想的具体做法。</w:t>
      </w:r>
    </w:p>
    <w:p w:rsidR="00267CEC" w:rsidRPr="007D45CF" w:rsidP="001F6E22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学习活动三：继承发扬，让思想与思想碰撞火花。 </w:t>
      </w:r>
    </w:p>
    <w:p w:rsidR="001F6E22" w:rsidRPr="007D45CF" w:rsidP="001F6E22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学以致用，走入生活 </w:t>
      </w:r>
      <w:r w:rsidRPr="007D45CF">
        <w:rPr>
          <w:rFonts w:ascii="楷体_GB2312" w:eastAsia="楷体_GB2312" w:hint="eastAsia"/>
          <w:sz w:val="28"/>
          <w:szCs w:val="28"/>
        </w:rPr>
        <w:t>：</w:t>
      </w:r>
      <w:r w:rsidRPr="007D45CF">
        <w:rPr>
          <w:rFonts w:ascii="楷体_GB2312" w:eastAsia="楷体_GB2312" w:hint="eastAsia"/>
          <w:sz w:val="28"/>
          <w:szCs w:val="28"/>
        </w:rPr>
        <w:t>列举日常生活中能够体现老庄思想的事例。</w:t>
      </w:r>
    </w:p>
    <w:p w:rsidR="00177A74" w:rsidRPr="007D45CF" w:rsidP="001F6E22">
      <w:pPr>
        <w:spacing w:line="360" w:lineRule="auto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</w:t>
      </w:r>
    </w:p>
    <w:p w:rsidR="00177A74" w:rsidRPr="007D45CF" w:rsidP="001F6E22">
      <w:pPr>
        <w:spacing w:line="360" w:lineRule="auto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</w:t>
      </w:r>
    </w:p>
    <w:p w:rsidR="00267CEC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合作探究</w:t>
      </w:r>
      <w:r w:rsidRPr="007D45CF" w:rsidR="000E21A3">
        <w:rPr>
          <w:rFonts w:ascii="楷体_GB2312" w:eastAsia="楷体_GB2312" w:hint="eastAsia"/>
          <w:sz w:val="28"/>
          <w:szCs w:val="28"/>
        </w:rPr>
        <w:t>，各抒己见</w:t>
      </w:r>
    </w:p>
    <w:p w:rsidR="00267CEC" w:rsidRPr="007D45CF" w:rsidP="001F6E22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语言运用，升华情感 </w:t>
      </w:r>
      <w:r w:rsidRPr="007D45CF" w:rsidR="001F6E22">
        <w:rPr>
          <w:rFonts w:ascii="楷体_GB2312" w:eastAsia="楷体_GB2312" w:hint="eastAsia"/>
          <w:sz w:val="28"/>
          <w:szCs w:val="28"/>
        </w:rPr>
        <w:t>:</w:t>
      </w:r>
      <w:r w:rsidRPr="007D45CF">
        <w:rPr>
          <w:rFonts w:ascii="楷体_GB2312" w:eastAsia="楷体_GB2312" w:hint="eastAsia"/>
          <w:sz w:val="28"/>
          <w:szCs w:val="28"/>
        </w:rPr>
        <w:t>道家思想给了你哪些启示，用下面的形式去解读老庄思想，提升精神境界。</w:t>
      </w:r>
    </w:p>
    <w:p w:rsidR="00177A74" w:rsidRPr="007D45CF" w:rsidP="001F6E22">
      <w:pPr>
        <w:spacing w:line="360" w:lineRule="auto"/>
        <w:rPr>
          <w:rFonts w:ascii="楷体_GB2312" w:eastAsia="楷体_GB2312" w:hint="eastAsia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 </w:t>
      </w:r>
    </w:p>
    <w:p w:rsidR="00177A74" w:rsidRPr="007D45CF" w:rsidP="001F6E22">
      <w:pPr>
        <w:spacing w:line="360" w:lineRule="auto"/>
        <w:rPr>
          <w:rFonts w:ascii="楷体_GB2312" w:eastAsia="楷体_GB2312"/>
          <w:sz w:val="28"/>
          <w:szCs w:val="28"/>
          <w:u w:val="single"/>
        </w:rPr>
      </w:pPr>
      <w:r w:rsidRPr="007D45CF"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                                                        </w:t>
      </w:r>
    </w:p>
    <w:p w:rsidR="00267CEC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示例：由“知人者智，自知者明。胜人者有力，自胜者强”，我想到了“自 知者英，自胜者雄”，了解别人，战胜别人容易，认识自己，战胜自己却很难 只有客观地认识自己，突破性地战胜自己，才能成为真正的英雄！ </w:t>
      </w:r>
    </w:p>
    <w:p w:rsidR="00267CEC" w:rsidRPr="007D45CF" w:rsidP="001F6E22">
      <w:pPr>
        <w:spacing w:line="360" w:lineRule="auto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课堂总结： 如果说儒家思想是生存的通行证，那么道家思想便是清心的良药方。老庄思想教会我们怎样看待这个世界，教会我们如何审视自己的内心。学会用思辨的思维解读万物，顺应自然规律，进而找到属于自己安身立命于世间的正确方式。 不悲观，不畏缩，不盲目，不卑微，即使生活千疮百孔，遍地枯枝败叶，也能够</w:t>
      </w:r>
      <w:r w:rsidRPr="007D45CF">
        <w:rPr>
          <w:rFonts w:ascii="楷体_GB2312" w:eastAsia="楷体_GB2312" w:hint="eastAsia"/>
          <w:sz w:val="28"/>
          <w:szCs w:val="28"/>
        </w:rPr>
        <w:t>从中汲取濡养内心的养分，拥有属于自己的精神原乡。智哉</w:t>
      </w:r>
      <w:r w:rsidRPr="007D45CF">
        <w:rPr>
          <w:rFonts w:ascii="楷体_GB2312" w:eastAsia="楷体_GB2312" w:hint="eastAsia"/>
          <w:sz w:val="28"/>
          <w:szCs w:val="28"/>
        </w:rPr>
        <w:t xml:space="preserve">，老庄 </w:t>
      </w:r>
      <w:r w:rsidRPr="007D45CF">
        <w:rPr>
          <w:rFonts w:ascii="楷体_GB2312" w:eastAsia="楷体_GB2312" w:hint="eastAsia"/>
          <w:sz w:val="28"/>
          <w:szCs w:val="28"/>
        </w:rPr>
        <w:t>！</w:t>
      </w:r>
      <w:r w:rsidRPr="007D45CF">
        <w:rPr>
          <w:rFonts w:ascii="楷体_GB2312" w:eastAsia="楷体_GB2312" w:hint="eastAsia"/>
          <w:sz w:val="28"/>
          <w:szCs w:val="28"/>
        </w:rPr>
        <w:t>课</w:t>
      </w:r>
      <w:r w:rsidRPr="007D45CF">
        <w:rPr>
          <w:rFonts w:ascii="楷体_GB2312" w:eastAsia="楷体_GB2312" w:hint="eastAsia"/>
          <w:sz w:val="28"/>
          <w:szCs w:val="28"/>
        </w:rPr>
        <w:t xml:space="preserve">后作业： </w:t>
      </w:r>
    </w:p>
    <w:p w:rsidR="00267CEC" w:rsidRPr="007D45CF" w:rsidP="00C0064E">
      <w:pPr>
        <w:pStyle w:val="ListParagraph"/>
        <w:spacing w:line="360" w:lineRule="auto"/>
        <w:ind w:left="1440" w:firstLine="0" w:firstLineChars="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1</w:t>
      </w:r>
      <w:r w:rsidRPr="007D45CF">
        <w:rPr>
          <w:rFonts w:ascii="楷体_GB2312" w:eastAsia="楷体_GB2312" w:hint="eastAsia"/>
          <w:sz w:val="28"/>
          <w:szCs w:val="28"/>
        </w:rPr>
        <w:t>、</w:t>
      </w:r>
      <w:r w:rsidRPr="007D45CF">
        <w:rPr>
          <w:rFonts w:ascii="楷体_GB2312" w:eastAsia="楷体_GB2312" w:hint="eastAsia"/>
          <w:sz w:val="28"/>
          <w:szCs w:val="28"/>
        </w:rPr>
        <w:t>背诵《老子》四章。</w:t>
      </w:r>
    </w:p>
    <w:p w:rsidR="00267CEC" w:rsidRPr="007D45CF" w:rsidP="00C0064E">
      <w:pPr>
        <w:pStyle w:val="ListParagraph"/>
        <w:spacing w:line="360" w:lineRule="auto"/>
        <w:ind w:left="1440" w:firstLine="0" w:firstLineChars="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>2</w:t>
      </w:r>
      <w:r w:rsidRPr="007D45CF">
        <w:rPr>
          <w:rFonts w:ascii="楷体_GB2312" w:eastAsia="楷体_GB2312" w:hint="eastAsia"/>
          <w:sz w:val="28"/>
          <w:szCs w:val="28"/>
        </w:rPr>
        <w:t>、</w:t>
      </w:r>
      <w:r w:rsidRPr="007D45CF">
        <w:rPr>
          <w:rFonts w:ascii="楷体_GB2312" w:eastAsia="楷体_GB2312" w:hint="eastAsia"/>
          <w:sz w:val="28"/>
          <w:szCs w:val="28"/>
        </w:rPr>
        <w:t>阅读姚淦铭的《老子智慧》 刘厚琴的《庄子品读》</w:t>
      </w:r>
    </w:p>
    <w:p w:rsidR="002973B7" w:rsidRPr="007D45CF" w:rsidP="00C0064E">
      <w:pPr>
        <w:pStyle w:val="ListParagraph"/>
        <w:spacing w:line="360" w:lineRule="auto"/>
        <w:ind w:left="1440" w:firstLine="0" w:firstLineChars="0"/>
        <w:rPr>
          <w:rFonts w:ascii="楷体_GB2312" w:eastAsia="楷体_GB2312"/>
          <w:sz w:val="28"/>
          <w:szCs w:val="28"/>
        </w:rPr>
      </w:pPr>
      <w:r w:rsidRPr="007D45CF">
        <w:rPr>
          <w:rFonts w:ascii="楷体_GB2312" w:eastAsia="楷体_GB2312" w:hint="eastAsia"/>
          <w:sz w:val="28"/>
          <w:szCs w:val="28"/>
        </w:rPr>
        <w:t xml:space="preserve"> 要求：写一篇老庄思想的感悟。</w:t>
      </w:r>
    </w:p>
    <w:sectPr w:rsidSect="00C0064E">
      <w:footerReference w:type="default" r:id="rId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46704"/>
      <w:docPartObj>
        <w:docPartGallery w:val="Page Numbers (Bottom of Page)"/>
        <w:docPartUnique/>
      </w:docPartObj>
    </w:sdtPr>
    <w:sdtContent>
      <w:p w:rsidR="00C006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7D45CF" w:rsidR="007D45CF">
          <w:rPr>
            <w:noProof/>
            <w:lang w:val="zh-CN"/>
          </w:rPr>
          <w:t>1</w:t>
        </w:r>
        <w:r w:rsidRPr="007D45CF" w:rsidR="007D45CF">
          <w:rPr>
            <w:noProof/>
            <w:lang w:val="zh-CN"/>
          </w:rPr>
          <w:fldChar w:fldCharType="end"/>
        </w:r>
      </w:p>
    </w:sdtContent>
  </w:sdt>
  <w:p w:rsidR="00C0064E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128C"/>
    <w:multiLevelType w:val="hybridMultilevel"/>
    <w:tmpl w:val="37F075F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A70CB5"/>
    <w:multiLevelType w:val="hybridMultilevel"/>
    <w:tmpl w:val="28FCD806"/>
    <w:lvl w:ilvl="0">
      <w:start w:val="1"/>
      <w:numFmt w:val="decimal"/>
      <w:lvlText w:val="%1、"/>
      <w:lvlJc w:val="left"/>
      <w:pPr>
        <w:ind w:left="1135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55" w:hanging="420"/>
      </w:pPr>
    </w:lvl>
    <w:lvl w:ilvl="2" w:tentative="1">
      <w:start w:val="1"/>
      <w:numFmt w:val="lowerRoman"/>
      <w:lvlText w:val="%3."/>
      <w:lvlJc w:val="right"/>
      <w:pPr>
        <w:ind w:left="1675" w:hanging="420"/>
      </w:pPr>
    </w:lvl>
    <w:lvl w:ilvl="3" w:tentative="1">
      <w:start w:val="1"/>
      <w:numFmt w:val="decimal"/>
      <w:lvlText w:val="%4."/>
      <w:lvlJc w:val="left"/>
      <w:pPr>
        <w:ind w:left="2095" w:hanging="420"/>
      </w:pPr>
    </w:lvl>
    <w:lvl w:ilvl="4" w:tentative="1">
      <w:start w:val="1"/>
      <w:numFmt w:val="lowerLetter"/>
      <w:lvlText w:val="%5)"/>
      <w:lvlJc w:val="left"/>
      <w:pPr>
        <w:ind w:left="2515" w:hanging="420"/>
      </w:pPr>
    </w:lvl>
    <w:lvl w:ilvl="5" w:tentative="1">
      <w:start w:val="1"/>
      <w:numFmt w:val="lowerRoman"/>
      <w:lvlText w:val="%6."/>
      <w:lvlJc w:val="right"/>
      <w:pPr>
        <w:ind w:left="2935" w:hanging="420"/>
      </w:pPr>
    </w:lvl>
    <w:lvl w:ilvl="6" w:tentative="1">
      <w:start w:val="1"/>
      <w:numFmt w:val="decimal"/>
      <w:lvlText w:val="%7."/>
      <w:lvlJc w:val="left"/>
      <w:pPr>
        <w:ind w:left="3355" w:hanging="420"/>
      </w:pPr>
    </w:lvl>
    <w:lvl w:ilvl="7" w:tentative="1">
      <w:start w:val="1"/>
      <w:numFmt w:val="lowerLetter"/>
      <w:lvlText w:val="%8)"/>
      <w:lvlJc w:val="left"/>
      <w:pPr>
        <w:ind w:left="3775" w:hanging="420"/>
      </w:pPr>
    </w:lvl>
    <w:lvl w:ilvl="8" w:tentative="1">
      <w:start w:val="1"/>
      <w:numFmt w:val="lowerRoman"/>
      <w:lvlText w:val="%9."/>
      <w:lvlJc w:val="right"/>
      <w:pPr>
        <w:ind w:left="4195" w:hanging="420"/>
      </w:pPr>
    </w:lvl>
  </w:abstractNum>
  <w:abstractNum w:abstractNumId="2">
    <w:nsid w:val="4FAB0AA8"/>
    <w:multiLevelType w:val="hybridMultilevel"/>
    <w:tmpl w:val="580C44B8"/>
    <w:lvl w:ilvl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60" w:hanging="420"/>
      </w:pPr>
    </w:lvl>
    <w:lvl w:ilvl="2" w:tentative="1">
      <w:start w:val="1"/>
      <w:numFmt w:val="lowerRoman"/>
      <w:lvlText w:val="%3."/>
      <w:lvlJc w:val="right"/>
      <w:pPr>
        <w:ind w:left="1980" w:hanging="420"/>
      </w:pPr>
    </w:lvl>
    <w:lvl w:ilvl="3" w:tentative="1">
      <w:start w:val="1"/>
      <w:numFmt w:val="decimal"/>
      <w:lvlText w:val="%4."/>
      <w:lvlJc w:val="left"/>
      <w:pPr>
        <w:ind w:left="2400" w:hanging="420"/>
      </w:pPr>
    </w:lvl>
    <w:lvl w:ilvl="4" w:tentative="1">
      <w:start w:val="1"/>
      <w:numFmt w:val="lowerLetter"/>
      <w:lvlText w:val="%5)"/>
      <w:lvlJc w:val="left"/>
      <w:pPr>
        <w:ind w:left="2820" w:hanging="420"/>
      </w:pPr>
    </w:lvl>
    <w:lvl w:ilvl="5" w:tentative="1">
      <w:start w:val="1"/>
      <w:numFmt w:val="lowerRoman"/>
      <w:lvlText w:val="%6."/>
      <w:lvlJc w:val="right"/>
      <w:pPr>
        <w:ind w:left="3240" w:hanging="420"/>
      </w:pPr>
    </w:lvl>
    <w:lvl w:ilvl="6" w:tentative="1">
      <w:start w:val="1"/>
      <w:numFmt w:val="decimal"/>
      <w:lvlText w:val="%7."/>
      <w:lvlJc w:val="left"/>
      <w:pPr>
        <w:ind w:left="3660" w:hanging="420"/>
      </w:pPr>
    </w:lvl>
    <w:lvl w:ilvl="7" w:tentative="1">
      <w:start w:val="1"/>
      <w:numFmt w:val="lowerLetter"/>
      <w:lvlText w:val="%8)"/>
      <w:lvlJc w:val="left"/>
      <w:pPr>
        <w:ind w:left="4080" w:hanging="420"/>
      </w:pPr>
    </w:lvl>
    <w:lvl w:ilvl="8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6F4A3E41"/>
    <w:multiLevelType w:val="hybridMultilevel"/>
    <w:tmpl w:val="84FA0EFE"/>
    <w:lvl w:ilvl="0">
      <w:start w:val="1"/>
      <w:numFmt w:val="decimal"/>
      <w:lvlText w:val="%1、"/>
      <w:lvlJc w:val="left"/>
      <w:pPr>
        <w:ind w:left="855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75" w:hanging="420"/>
      </w:pPr>
    </w:lvl>
    <w:lvl w:ilvl="2" w:tentative="1">
      <w:start w:val="1"/>
      <w:numFmt w:val="lowerRoman"/>
      <w:lvlText w:val="%3."/>
      <w:lvlJc w:val="right"/>
      <w:pPr>
        <w:ind w:left="1395" w:hanging="420"/>
      </w:pPr>
    </w:lvl>
    <w:lvl w:ilvl="3" w:tentative="1">
      <w:start w:val="1"/>
      <w:numFmt w:val="decimal"/>
      <w:lvlText w:val="%4."/>
      <w:lvlJc w:val="left"/>
      <w:pPr>
        <w:ind w:left="1815" w:hanging="420"/>
      </w:pPr>
    </w:lvl>
    <w:lvl w:ilvl="4" w:tentative="1">
      <w:start w:val="1"/>
      <w:numFmt w:val="lowerLetter"/>
      <w:lvlText w:val="%5)"/>
      <w:lvlJc w:val="left"/>
      <w:pPr>
        <w:ind w:left="2235" w:hanging="420"/>
      </w:pPr>
    </w:lvl>
    <w:lvl w:ilvl="5" w:tentative="1">
      <w:start w:val="1"/>
      <w:numFmt w:val="lowerRoman"/>
      <w:lvlText w:val="%6."/>
      <w:lvlJc w:val="right"/>
      <w:pPr>
        <w:ind w:left="2655" w:hanging="420"/>
      </w:pPr>
    </w:lvl>
    <w:lvl w:ilvl="6" w:tentative="1">
      <w:start w:val="1"/>
      <w:numFmt w:val="decimal"/>
      <w:lvlText w:val="%7."/>
      <w:lvlJc w:val="left"/>
      <w:pPr>
        <w:ind w:left="3075" w:hanging="420"/>
      </w:pPr>
    </w:lvl>
    <w:lvl w:ilvl="7" w:tentative="1">
      <w:start w:val="1"/>
      <w:numFmt w:val="lowerLetter"/>
      <w:lvlText w:val="%8)"/>
      <w:lvlJc w:val="left"/>
      <w:pPr>
        <w:ind w:left="3495" w:hanging="420"/>
      </w:pPr>
    </w:lvl>
    <w:lvl w:ilvl="8" w:tentative="1">
      <w:start w:val="1"/>
      <w:numFmt w:val="lowerRoman"/>
      <w:lvlText w:val="%9."/>
      <w:lvlJc w:val="right"/>
      <w:pPr>
        <w:ind w:left="3915" w:hanging="420"/>
      </w:pPr>
    </w:lvl>
  </w:abstractNum>
  <w:abstractNum w:abstractNumId="4">
    <w:nsid w:val="7D3535F9"/>
    <w:multiLevelType w:val="hybridMultilevel"/>
    <w:tmpl w:val="F71CB12A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44F4"/>
    <w:rsid w:val="000E21A3"/>
    <w:rsid w:val="00177A74"/>
    <w:rsid w:val="001F6E22"/>
    <w:rsid w:val="00267CEC"/>
    <w:rsid w:val="00277FBF"/>
    <w:rsid w:val="002973B7"/>
    <w:rsid w:val="003F7E4B"/>
    <w:rsid w:val="00457045"/>
    <w:rsid w:val="004618AD"/>
    <w:rsid w:val="005F4013"/>
    <w:rsid w:val="0060225A"/>
    <w:rsid w:val="00670FD9"/>
    <w:rsid w:val="007165D4"/>
    <w:rsid w:val="007D45CF"/>
    <w:rsid w:val="0081095C"/>
    <w:rsid w:val="00923124"/>
    <w:rsid w:val="00925B51"/>
    <w:rsid w:val="00A42A21"/>
    <w:rsid w:val="00A57415"/>
    <w:rsid w:val="00A60172"/>
    <w:rsid w:val="00A87CF1"/>
    <w:rsid w:val="00A91534"/>
    <w:rsid w:val="00B80940"/>
    <w:rsid w:val="00BF00BF"/>
    <w:rsid w:val="00C0064E"/>
    <w:rsid w:val="00C02116"/>
    <w:rsid w:val="00C044F4"/>
    <w:rsid w:val="00C96546"/>
    <w:rsid w:val="00D17596"/>
    <w:rsid w:val="00D365C7"/>
    <w:rsid w:val="00D86EF0"/>
    <w:rsid w:val="00DB5CBF"/>
    <w:rsid w:val="00DC385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3B7"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4F4"/>
    <w:pPr>
      <w:ind w:firstLine="420" w:firstLineChars="200"/>
    </w:pPr>
  </w:style>
  <w:style w:type="paragraph" w:styleId="Header">
    <w:name w:val="header"/>
    <w:basedOn w:val="Normal"/>
    <w:link w:val="Char"/>
    <w:uiPriority w:val="99"/>
    <w:semiHidden/>
    <w:unhideWhenUsed/>
    <w:rsid w:val="00602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60225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02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0225A"/>
    <w:rPr>
      <w:sz w:val="18"/>
      <w:szCs w:val="18"/>
    </w:rPr>
  </w:style>
  <w:style w:type="table" w:styleId="TableGrid">
    <w:name w:val="Table Grid"/>
    <w:basedOn w:val="TableNormal"/>
    <w:uiPriority w:val="59"/>
    <w:rsid w:val="00BF00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547</Words>
  <Characters>3121</Characters>
  <Application>Microsoft Office Word</Application>
  <DocSecurity>0</DocSecurity>
  <Lines>26</Lines>
  <Paragraphs>7</Paragraphs>
  <ScaleCrop>false</ScaleCrop>
  <Company>Sky123.Org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2020-10-14T02:57:00Z</dcterms:created>
  <dcterms:modified xsi:type="dcterms:W3CDTF">2020-10-15T02:22:00Z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